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сад № 305 города Донецка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 xml:space="preserve">(МБДОУ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305 г. Донецка»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Style w:val="4"/>
        <w:tblW w:w="9681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1"/>
        <w:gridCol w:w="5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  <w:r>
              <w:br w:type="textWrapping"/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1)</w:t>
            </w:r>
          </w:p>
        </w:tc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 </w:t>
            </w:r>
            <w:r>
              <w:br w:type="textWrapping"/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305 г. Донецка»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bookmarkStart w:id="0" w:name="_GoBack"/>
            <w:bookmarkEnd w:id="0"/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приема в МБДОУ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-сад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 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305 г. Донецка»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  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Правила приема в МБДОУ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305 г. Донецка»</w:t>
      </w:r>
      <w:r>
        <w:rPr>
          <w:rFonts w:hAnsi="Times New Roman" w:cs="Times New Roman"/>
          <w:color w:val="000000"/>
          <w:sz w:val="24"/>
          <w:szCs w:val="24"/>
        </w:rPr>
        <w:t>(далее — правила) разработаны в соответствии с Федеральным законом от 29.12.2012 № 273-ФЗ «Об образовании в Российской Федерации», Порядком приема на обучение по образовательным программам дошкольного образования, утвержденным приказом Минпросвещения России от 15.05.2020 № 236,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 приказом Минобрнауки России от 28.12.2015 № 1527,Приказом № 129 от 19.10. 2021 г "О внесении изменения в Порядок приема детей в дошкольные образовательные учреждения ДНР и уставом МБДОУ «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305 г. Донецка»</w:t>
      </w:r>
      <w:r>
        <w:rPr>
          <w:rFonts w:hAnsi="Times New Roman" w:cs="Times New Roman"/>
          <w:color w:val="000000"/>
          <w:sz w:val="24"/>
          <w:szCs w:val="24"/>
        </w:rPr>
        <w:t xml:space="preserve">» (далее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Правила определяют требования к процедуре и условиям зачисления граждан РФ (далее — ребенок, дети), иностранных граждан в детский сад для обучения по образовательным программам дошкольного образования, дополнительным общеразвивающим 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 Энской области.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приема на обучение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Прием в детский сад осуществляется в течение календарного года при наличии свободных мест.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Лицо, ответственное за прием документов, график приема заявлений и документов утверждаются приказом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Приказ, указанный в пункте 2.6 правил, размещается на информационном стенде в детском саду и на официальном сайте детского сада в сети «Интернет» в течение трех рабочих дней со дня его издания.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Лицо, ответственное за прием, обеспечивает своевременное размещение на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 xml:space="preserve">информационном стенде в детском саду и на 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305 г. Донецка»  </w:t>
      </w:r>
      <w:r>
        <w:rPr>
          <w:rFonts w:hAnsi="Times New Roman" w:cs="Times New Roman"/>
          <w:color w:val="000000"/>
          <w:sz w:val="24"/>
          <w:szCs w:val="24"/>
        </w:rPr>
        <w:t xml:space="preserve"> в сети «Интернет»: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распорядительного акта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Донецка</w:t>
      </w:r>
      <w:r>
        <w:rPr>
          <w:rFonts w:hAnsi="Times New Roman" w:cs="Times New Roman"/>
          <w:color w:val="000000"/>
          <w:sz w:val="24"/>
          <w:szCs w:val="24"/>
        </w:rPr>
        <w:t xml:space="preserve"> о закреплении образовательных организаций за конкретными территориями;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настоящих правил;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копии устава МБДОУ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305 г. Донецка»</w:t>
      </w:r>
      <w:r>
        <w:rPr>
          <w:rFonts w:hAnsi="Times New Roman" w:cs="Times New Roman"/>
          <w:color w:val="000000"/>
          <w:sz w:val="24"/>
          <w:szCs w:val="24"/>
        </w:rPr>
        <w:t xml:space="preserve">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информации о сроках приема документов, графика приема документов;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примерных форм заявлений о приеме в детский сад и образцов их заполнения;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заявления о приеме на обучение по дополнительным общеразвивающим программам и образца ее заполнения;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информации о направлениях обучения по дополнительным общеразвивающим программам, количестве мест, графика приема заявлений не позднее чем за 15 календарных дней до начала приема документов;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дополнительной информации по текущему приему.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зачисления на обучение по основным образовательным программам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дошкольного образования и в группу (группы) по присмотру и уходу без реализации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образовательной программы 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Донецка</w:t>
      </w:r>
      <w:r>
        <w:rPr>
          <w:rFonts w:hAnsi="Times New Roman" w:cs="Times New Roman"/>
          <w:color w:val="000000"/>
          <w:sz w:val="24"/>
          <w:szCs w:val="24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свидетельство о рождении ребенка или 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документ(-ы), удостоверяющий(е) личность ребенка и подтверждающий(е) законность представления прав ребенка – для иностранных граждан и лиц без гражданства;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 психолого-медико-педагогической комиссии;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потребность в обучении в группе оздоровительной направленности.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Для зачисления в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305 г. Донецка» 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утверждается 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образования»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Приказом № 129 от 19.10. 2021 г "О внесении изменения в Порядок приема детей в дошкольные образовательные учреждения ДНР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 Один экземпляр акта подшивается в представленное личное дело, второй передается заявителю.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 14 календарных дней с даты составления акта.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 расписка. В расписке 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С родителями (законными представителями) детей, которые сдали полный комплект документов, предусмотренных настоящими правилами, в течение 5 рабочих дней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 На каждого зачисленного в детский сад ребенка, за исключением зачисленных в порядке перевода из другой организации, формируется личное дело, в котором хранятся все полученные при приеме документы.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 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 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 случае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Зачисление ребенка в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оформляется приказом руководителя в течение трех рабочих дней после заключения договора.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Прием на обучение по дополнительным общеразвивающим программам 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 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 Прием заявлений на обучение, их регистрация осуществляются в порядке, предусмотренном разделом 3 правил.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A9C7F4E"/>
    <w:rsid w:val="534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Лариса Галаган</cp:lastModifiedBy>
  <dcterms:modified xsi:type="dcterms:W3CDTF">2024-02-09T18:30:15Z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82047C5F524145F29F11F8B977BEEFCE_12</vt:lpwstr>
  </property>
</Properties>
</file>